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E091" w14:textId="77777777" w:rsidR="00343E69" w:rsidRPr="007D33E6" w:rsidRDefault="007D33E6" w:rsidP="007D33E6">
      <w:pPr>
        <w:jc w:val="center"/>
        <w:rPr>
          <w:b/>
          <w:sz w:val="36"/>
          <w:szCs w:val="36"/>
        </w:rPr>
      </w:pPr>
      <w:r>
        <w:rPr>
          <w:b/>
          <w:sz w:val="36"/>
          <w:szCs w:val="36"/>
        </w:rPr>
        <w:t xml:space="preserve">Policy for </w:t>
      </w:r>
      <w:r w:rsidRPr="007D33E6">
        <w:rPr>
          <w:b/>
          <w:sz w:val="36"/>
          <w:szCs w:val="36"/>
        </w:rPr>
        <w:t>Use of Avian Embryos</w:t>
      </w:r>
      <w:r>
        <w:rPr>
          <w:b/>
          <w:sz w:val="36"/>
          <w:szCs w:val="36"/>
        </w:rPr>
        <w:t>*</w:t>
      </w:r>
    </w:p>
    <w:p w14:paraId="672A6659" w14:textId="77777777" w:rsidR="00343E69" w:rsidRDefault="00343E69"/>
    <w:p w14:paraId="0A37501D" w14:textId="77777777" w:rsidR="00B9750B" w:rsidRDefault="00B9750B"/>
    <w:p w14:paraId="58A3CB4F" w14:textId="77777777" w:rsidR="00356F54" w:rsidRDefault="007A4E82">
      <w:r w:rsidRPr="00DD27B3">
        <w:rPr>
          <w:b/>
        </w:rPr>
        <w:t>Purpose:</w:t>
      </w:r>
      <w:r>
        <w:t xml:space="preserve">  </w:t>
      </w:r>
      <w:r w:rsidR="00356F54">
        <w:t>To provide guidance on the use of avian embryos in research, teaching, training, and testing.  To describe euthanasia procedures for chick embryos in various stages of development as well as to ensure euthanasia procedures are in place for inadvertently hatched chicks.</w:t>
      </w:r>
    </w:p>
    <w:p w14:paraId="5DAB6C7B" w14:textId="77777777" w:rsidR="00356F54" w:rsidRDefault="00356F54"/>
    <w:p w14:paraId="49C3E9FA" w14:textId="77777777" w:rsidR="00356F54" w:rsidRDefault="00356F54">
      <w:r w:rsidRPr="00356F54">
        <w:rPr>
          <w:b/>
        </w:rPr>
        <w:t>Scope:</w:t>
      </w:r>
      <w:r>
        <w:t xml:space="preserve">  </w:t>
      </w:r>
      <w:r w:rsidR="00B9750B">
        <w:t>This policy applies to all avian embryo</w:t>
      </w:r>
      <w:r w:rsidR="007A4E82">
        <w:t>s</w:t>
      </w:r>
      <w:r w:rsidR="00B9750B">
        <w:t xml:space="preserve"> used in research, teaching, </w:t>
      </w:r>
      <w:r>
        <w:t xml:space="preserve">training, </w:t>
      </w:r>
      <w:r w:rsidR="00B9750B">
        <w:t xml:space="preserve">or testing at the </w:t>
      </w:r>
      <w:r w:rsidR="007A4E82">
        <w:t xml:space="preserve">University of Arkansas - </w:t>
      </w:r>
      <w:r w:rsidR="00B9750B">
        <w:t xml:space="preserve">Division of Agriculture.  </w:t>
      </w:r>
    </w:p>
    <w:p w14:paraId="02EB378F" w14:textId="77777777" w:rsidR="00356F54" w:rsidRDefault="00356F54"/>
    <w:p w14:paraId="11ADB01E" w14:textId="60A2F64B" w:rsidR="00377A08" w:rsidRPr="00377A08" w:rsidRDefault="00356F54" w:rsidP="00D9722F">
      <w:r w:rsidRPr="00356F54">
        <w:rPr>
          <w:b/>
        </w:rPr>
        <w:t>Policy:</w:t>
      </w:r>
      <w:r>
        <w:t xml:space="preserve">  While avian embryos are not considered live animals by U.S. regulatory agencies, there is a consensus in the scientific community that avian embryos that have attained </w:t>
      </w:r>
      <w:r w:rsidR="00496D73">
        <w:t>~5</w:t>
      </w:r>
      <w:r>
        <w:t>0% incubation have developed a neural tube sufficient for pain perception</w:t>
      </w:r>
      <w:r w:rsidR="00496D73">
        <w:t xml:space="preserve"> and demonstrate sustained EEG activity </w:t>
      </w:r>
      <w:r w:rsidR="00CB54FC">
        <w:t xml:space="preserve">at </w:t>
      </w:r>
      <w:r w:rsidR="00CB54FC">
        <w:rPr>
          <w:rFonts w:cstheme="minorHAnsi"/>
        </w:rPr>
        <w:t>≥</w:t>
      </w:r>
      <w:r w:rsidR="00CB54FC">
        <w:t>80%</w:t>
      </w:r>
      <w:r w:rsidR="00FE4654" w:rsidRPr="00FE4654">
        <w:rPr>
          <w:vertAlign w:val="superscript"/>
        </w:rPr>
        <w:t>1</w:t>
      </w:r>
      <w:r>
        <w:t xml:space="preserve">.  </w:t>
      </w:r>
      <w:r w:rsidR="00D9722F">
        <w:t xml:space="preserve">This is, in part, due to the fact that certain avian species (chickens, quail, etc.) are precocial and are more advanced morphologically during development than altricial species.  </w:t>
      </w:r>
      <w:r w:rsidR="00377A08" w:rsidRPr="0033572A">
        <w:t>Also note</w:t>
      </w:r>
      <w:r w:rsidR="00377A08">
        <w:t xml:space="preserve">, </w:t>
      </w:r>
      <w:r w:rsidR="0033572A">
        <w:t>vascular gas exchange</w:t>
      </w:r>
      <w:r w:rsidR="00377A08">
        <w:t xml:space="preserve"> begins by the seventh day of embryo development; therefore, the embryonic environment may have a CO</w:t>
      </w:r>
      <w:r w:rsidR="00377A08" w:rsidRPr="0D8485A2">
        <w:rPr>
          <w:vertAlign w:val="subscript"/>
        </w:rPr>
        <w:t>2</w:t>
      </w:r>
      <w:r w:rsidR="00377A08">
        <w:t xml:space="preserve"> concentration as high as 14%.  Considering the natural state of the embryo, CO</w:t>
      </w:r>
      <w:r w:rsidR="00377A08" w:rsidRPr="0D8485A2">
        <w:rPr>
          <w:vertAlign w:val="subscript"/>
        </w:rPr>
        <w:t>2</w:t>
      </w:r>
      <w:r w:rsidR="00377A08">
        <w:t xml:space="preserve"> concentrations for euthanasia should be high.  The AVMA Guidelines for Euthanasia reports a CO</w:t>
      </w:r>
      <w:r w:rsidR="00377A08" w:rsidRPr="0D8485A2">
        <w:rPr>
          <w:vertAlign w:val="subscript"/>
        </w:rPr>
        <w:t>2</w:t>
      </w:r>
      <w:r w:rsidR="00377A08">
        <w:t xml:space="preserve"> concentration of 60%-70% with a 5-minute exposure time as optimal while other sources recommend a 90% CO</w:t>
      </w:r>
      <w:r w:rsidR="00377A08" w:rsidRPr="0D8485A2">
        <w:rPr>
          <w:vertAlign w:val="subscript"/>
        </w:rPr>
        <w:t>2</w:t>
      </w:r>
      <w:r w:rsidR="00377A08">
        <w:t xml:space="preserve"> for at least 20 minutes. </w:t>
      </w:r>
      <w:r w:rsidR="004B2779">
        <w:t>E</w:t>
      </w:r>
      <w:r w:rsidR="00377A08">
        <w:t>mbryos and chicks up to 72 hr. old are resistant to CO</w:t>
      </w:r>
      <w:r w:rsidR="00377A08" w:rsidRPr="0D8485A2">
        <w:rPr>
          <w:vertAlign w:val="subscript"/>
        </w:rPr>
        <w:t>2</w:t>
      </w:r>
      <w:r w:rsidR="00377A08">
        <w:rPr>
          <w:vertAlign w:val="subscript"/>
        </w:rPr>
        <w:t xml:space="preserve">.  </w:t>
      </w:r>
    </w:p>
    <w:p w14:paraId="6DAD6529" w14:textId="77777777" w:rsidR="00377A08" w:rsidRDefault="00377A08" w:rsidP="00D9722F"/>
    <w:p w14:paraId="6D9CD876" w14:textId="4F4A3A5A" w:rsidR="00D9722F" w:rsidRDefault="00C5052F" w:rsidP="00D9722F">
      <w:r>
        <w:t>Consequently</w:t>
      </w:r>
      <w:r w:rsidR="007D33E6">
        <w:t>,</w:t>
      </w:r>
      <w:r>
        <w:t xml:space="preserve"> the University of Arkansas System – Division of Agriculture has adopted the following guidelines:  </w:t>
      </w:r>
    </w:p>
    <w:p w14:paraId="6A05A809" w14:textId="77777777" w:rsidR="00D9722F" w:rsidRDefault="00D9722F" w:rsidP="00D9722F"/>
    <w:p w14:paraId="1257FC74" w14:textId="0CA8B2B3" w:rsidR="00D9722F" w:rsidRDefault="00D9722F" w:rsidP="00D9722F">
      <w:pPr>
        <w:rPr>
          <w:i/>
        </w:rPr>
      </w:pPr>
      <w:r w:rsidRPr="00C5052F">
        <w:rPr>
          <w:i/>
        </w:rPr>
        <w:t>Chicken embryos, which hatch in approximately 21 days, are considered the model species for this policy.  If other avian species are used, then the guidelines should be adjusted based on relative time to hatching</w:t>
      </w:r>
      <w:r w:rsidR="00743BA1">
        <w:rPr>
          <w:i/>
        </w:rPr>
        <w:t xml:space="preserve"> </w:t>
      </w:r>
      <w:r w:rsidR="00743BA1" w:rsidRPr="005F04B9">
        <w:rPr>
          <w:i/>
        </w:rPr>
        <w:t>(&lt;85% of expected incubation</w:t>
      </w:r>
      <w:r w:rsidR="005B0424" w:rsidRPr="005F04B9">
        <w:rPr>
          <w:i/>
        </w:rPr>
        <w:t xml:space="preserve"> + hatching</w:t>
      </w:r>
      <w:r w:rsidR="00743BA1" w:rsidRPr="005F04B9">
        <w:rPr>
          <w:i/>
        </w:rPr>
        <w:t xml:space="preserve"> period)</w:t>
      </w:r>
      <w:r w:rsidRPr="005F04B9">
        <w:rPr>
          <w:i/>
        </w:rPr>
        <w:t>.</w:t>
      </w:r>
      <w:r>
        <w:t xml:space="preserve">   </w:t>
      </w:r>
      <w:r w:rsidR="005441E0" w:rsidRPr="005441E0">
        <w:rPr>
          <w:i/>
        </w:rPr>
        <w:t>These guidelines are specific for poultry and/or other species produced for food/fiber.</w:t>
      </w:r>
    </w:p>
    <w:p w14:paraId="5A39BBE3" w14:textId="77777777" w:rsidR="00356F54" w:rsidRDefault="00356F54"/>
    <w:p w14:paraId="03B1CE45" w14:textId="77777777" w:rsidR="00D9722F" w:rsidRDefault="00D9722F">
      <w:pPr>
        <w:rPr>
          <w:b/>
        </w:rPr>
      </w:pPr>
      <w:r w:rsidRPr="00D9722F">
        <w:rPr>
          <w:b/>
        </w:rPr>
        <w:t>Guidelines:</w:t>
      </w:r>
    </w:p>
    <w:p w14:paraId="41C8F396" w14:textId="77777777" w:rsidR="00E8298B" w:rsidRDefault="00E8298B">
      <w:pPr>
        <w:rPr>
          <w:b/>
        </w:rPr>
      </w:pPr>
    </w:p>
    <w:p w14:paraId="59130566" w14:textId="3DD42D2F" w:rsidR="00E8298B" w:rsidRDefault="00E8298B" w:rsidP="00E8298B">
      <w:pPr>
        <w:pStyle w:val="ListParagraph"/>
        <w:numPr>
          <w:ilvl w:val="0"/>
          <w:numId w:val="27"/>
        </w:numPr>
        <w:rPr>
          <w:b/>
          <w:u w:val="single"/>
        </w:rPr>
      </w:pPr>
      <w:r>
        <w:t xml:space="preserve">Investigators using avian embryos </w:t>
      </w:r>
      <w:r w:rsidR="00807ED6">
        <w:rPr>
          <w:rFonts w:cstheme="minorHAnsi"/>
        </w:rPr>
        <w:t>≤</w:t>
      </w:r>
      <w:r w:rsidR="00807ED6">
        <w:t xml:space="preserve"> </w:t>
      </w:r>
      <w:r>
        <w:t>E17</w:t>
      </w:r>
      <w:r w:rsidR="00CB54FC">
        <w:t xml:space="preserve"> (or </w:t>
      </w:r>
      <w:r w:rsidR="00CB54FC">
        <w:rPr>
          <w:rFonts w:cstheme="minorHAnsi"/>
        </w:rPr>
        <w:t>≤</w:t>
      </w:r>
      <w:r w:rsidR="00807ED6">
        <w:rPr>
          <w:rFonts w:cstheme="minorHAnsi"/>
        </w:rPr>
        <w:t xml:space="preserve"> </w:t>
      </w:r>
      <w:r w:rsidR="00CB54FC">
        <w:t>80% of expected incubation period)</w:t>
      </w:r>
      <w:r>
        <w:t>, must inform the Ag-IACUC by means of the “</w:t>
      </w:r>
      <w:r w:rsidRPr="00C5052F">
        <w:rPr>
          <w:i/>
        </w:rPr>
        <w:t>Notice of Intent to Use Avian Embryos</w:t>
      </w:r>
      <w:r>
        <w:t>” form</w:t>
      </w:r>
      <w:r w:rsidR="005F04B9">
        <w:t xml:space="preserve"> </w:t>
      </w:r>
      <w:r w:rsidR="008E04E6">
        <w:t>(</w:t>
      </w:r>
      <w:hyperlink r:id="rId10" w:history="1">
        <w:r w:rsidR="008E04E6" w:rsidRPr="00D03D25">
          <w:rPr>
            <w:rStyle w:val="Hyperlink"/>
          </w:rPr>
          <w:t>https://aaesbusinessoffice.uada.edu/agiacuc/Forms</w:t>
        </w:r>
      </w:hyperlink>
      <w:r w:rsidR="008E04E6">
        <w:t>).</w:t>
      </w:r>
      <w:r>
        <w:t xml:space="preserve">  This serves as a record of avian embryo use for the Ag-IACUC.  If embryos will be euthanized prior to 4 days before hatching (i.e. day &lt;/=17), the research is not subject to Ag-IACUC review, unless specifically requested by the investigator.</w:t>
      </w:r>
      <w:r w:rsidR="00C5052F">
        <w:t xml:space="preserve">  </w:t>
      </w:r>
      <w:r w:rsidR="00C5052F" w:rsidRPr="00C5052F">
        <w:rPr>
          <w:b/>
          <w:u w:val="single"/>
        </w:rPr>
        <w:t>No formal Animal Use Protocol (AUP) need to be filed.</w:t>
      </w:r>
    </w:p>
    <w:p w14:paraId="10C75B26" w14:textId="77777777" w:rsidR="002C749B" w:rsidRPr="00C5052F" w:rsidRDefault="002C749B" w:rsidP="002C749B">
      <w:pPr>
        <w:pStyle w:val="ListParagraph"/>
        <w:rPr>
          <w:b/>
          <w:u w:val="single"/>
        </w:rPr>
      </w:pPr>
    </w:p>
    <w:p w14:paraId="37A8F64B" w14:textId="686E7CB7" w:rsidR="00E86EEF" w:rsidRPr="00E86EEF" w:rsidRDefault="002C749B" w:rsidP="002C749B">
      <w:pPr>
        <w:pStyle w:val="ListParagraph"/>
        <w:numPr>
          <w:ilvl w:val="1"/>
          <w:numId w:val="27"/>
        </w:numPr>
        <w:rPr>
          <w:b/>
          <w:i/>
        </w:rPr>
      </w:pPr>
      <w:r>
        <w:t>All avian embryos that have been set “incubated” for any duration up through day 17 (E17)</w:t>
      </w:r>
      <w:r w:rsidRPr="002C749B">
        <w:t xml:space="preserve"> </w:t>
      </w:r>
      <w:r>
        <w:t>must be euthanized by an acceptable method as outlined in the AVMA Guidelines on Euthanasia 2020</w:t>
      </w:r>
      <w:r w:rsidR="00377A08">
        <w:t>, Ag</w:t>
      </w:r>
      <w:r w:rsidR="004B2779">
        <w:t>-Guide 2020,</w:t>
      </w:r>
      <w:r w:rsidR="00E71AF4">
        <w:t xml:space="preserve"> or </w:t>
      </w:r>
      <w:r w:rsidR="00E71AF4" w:rsidRPr="004B2779">
        <w:t xml:space="preserve">Ag-IACUC Policy </w:t>
      </w:r>
    </w:p>
    <w:p w14:paraId="3D2C4EB1" w14:textId="28148E6F" w:rsidR="00E86EEF" w:rsidRPr="00E86EEF" w:rsidRDefault="002C749B" w:rsidP="00E86EEF">
      <w:pPr>
        <w:pStyle w:val="ListParagraph"/>
        <w:ind w:left="1440"/>
        <w:rPr>
          <w:b/>
          <w:i/>
        </w:rPr>
      </w:pPr>
      <w:r>
        <w:t xml:space="preserve"> </w:t>
      </w:r>
    </w:p>
    <w:p w14:paraId="56911911" w14:textId="1CA49095" w:rsidR="00E86EEF" w:rsidRPr="00E86EEF" w:rsidRDefault="00E86EEF" w:rsidP="00E86EEF">
      <w:pPr>
        <w:pStyle w:val="ListParagraph"/>
        <w:numPr>
          <w:ilvl w:val="2"/>
          <w:numId w:val="27"/>
        </w:numPr>
        <w:rPr>
          <w:b/>
          <w:i/>
        </w:rPr>
      </w:pPr>
      <w:r>
        <w:t>Prolonged exposure to CO</w:t>
      </w:r>
      <w:r w:rsidRPr="00E86EEF">
        <w:rPr>
          <w:vertAlign w:val="subscript"/>
        </w:rPr>
        <w:t>2</w:t>
      </w:r>
      <w:r>
        <w:t xml:space="preserve"> (</w:t>
      </w:r>
      <w:r w:rsidR="008C5677">
        <w:t xml:space="preserve">90% for </w:t>
      </w:r>
      <w:r>
        <w:t>20 minutes</w:t>
      </w:r>
      <w:r w:rsidR="004B2779" w:rsidRPr="00C01E4D">
        <w:rPr>
          <w:vertAlign w:val="superscript"/>
        </w:rPr>
        <w:t>1</w:t>
      </w:r>
      <w:r>
        <w:t>)</w:t>
      </w:r>
      <w:r w:rsidR="00E93A3C">
        <w:t>, followed by chilling or freezing</w:t>
      </w:r>
    </w:p>
    <w:p w14:paraId="27385FF4" w14:textId="599A225C" w:rsidR="00E86EEF" w:rsidRPr="00E86EEF" w:rsidRDefault="00E86EEF" w:rsidP="00E86EEF">
      <w:pPr>
        <w:pStyle w:val="ListParagraph"/>
        <w:numPr>
          <w:ilvl w:val="2"/>
          <w:numId w:val="27"/>
        </w:numPr>
        <w:rPr>
          <w:b/>
          <w:i/>
        </w:rPr>
      </w:pPr>
      <w:r>
        <w:t>Freezing (-20</w:t>
      </w:r>
      <w:r w:rsidR="00F63389">
        <w:rPr>
          <w:vertAlign w:val="superscript"/>
        </w:rPr>
        <w:t>o</w:t>
      </w:r>
      <w:r>
        <w:t>C</w:t>
      </w:r>
      <w:r w:rsidR="00F63389">
        <w:t>/-4</w:t>
      </w:r>
      <w:r w:rsidR="00F63389">
        <w:rPr>
          <w:vertAlign w:val="superscript"/>
        </w:rPr>
        <w:t>o</w:t>
      </w:r>
      <w:r w:rsidR="00F63389">
        <w:t>F</w:t>
      </w:r>
      <w:r>
        <w:t xml:space="preserve"> for minimum of 4 hours</w:t>
      </w:r>
      <w:r w:rsidR="003A7445">
        <w:rPr>
          <w:vertAlign w:val="superscript"/>
        </w:rPr>
        <w:t>1,2</w:t>
      </w:r>
      <w:r>
        <w:t>)</w:t>
      </w:r>
    </w:p>
    <w:p w14:paraId="42816BA8" w14:textId="53074968" w:rsidR="00E86EEF" w:rsidRPr="00E86EEF" w:rsidRDefault="00E86EEF" w:rsidP="00E86EEF">
      <w:pPr>
        <w:pStyle w:val="ListParagraph"/>
        <w:numPr>
          <w:ilvl w:val="2"/>
          <w:numId w:val="27"/>
        </w:numPr>
        <w:rPr>
          <w:b/>
          <w:i/>
        </w:rPr>
      </w:pPr>
      <w:r>
        <w:t>Chilling/Cooling (</w:t>
      </w:r>
      <w:r w:rsidR="00582D0C">
        <w:rPr>
          <w:rFonts w:cstheme="minorHAnsi"/>
        </w:rPr>
        <w:t>≤</w:t>
      </w:r>
      <w:r w:rsidR="00807ED6">
        <w:rPr>
          <w:rFonts w:cstheme="minorHAnsi"/>
        </w:rPr>
        <w:t xml:space="preserve"> </w:t>
      </w:r>
      <w:bookmarkStart w:id="0" w:name="_GoBack"/>
      <w:bookmarkEnd w:id="0"/>
      <w:r>
        <w:t>4</w:t>
      </w:r>
      <w:r w:rsidR="00F63389" w:rsidRPr="00F63389">
        <w:rPr>
          <w:vertAlign w:val="superscript"/>
        </w:rPr>
        <w:t>o</w:t>
      </w:r>
      <w:r>
        <w:t>C</w:t>
      </w:r>
      <w:r w:rsidR="00F63389">
        <w:t>/40</w:t>
      </w:r>
      <w:r w:rsidR="00F63389" w:rsidRPr="00F63389">
        <w:rPr>
          <w:vertAlign w:val="superscript"/>
        </w:rPr>
        <w:t>o</w:t>
      </w:r>
      <w:r w:rsidR="00F63389">
        <w:t>F</w:t>
      </w:r>
      <w:r>
        <w:t xml:space="preserve"> for </w:t>
      </w:r>
      <w:r w:rsidR="00F41CF3">
        <w:t>2</w:t>
      </w:r>
      <w:r>
        <w:t>4hours</w:t>
      </w:r>
      <w:r w:rsidR="004B2779" w:rsidRPr="004B2779">
        <w:rPr>
          <w:vertAlign w:val="superscript"/>
        </w:rPr>
        <w:t>1,</w:t>
      </w:r>
      <w:r w:rsidR="00D525DC" w:rsidRPr="00D525DC">
        <w:rPr>
          <w:vertAlign w:val="superscript"/>
        </w:rPr>
        <w:t>2</w:t>
      </w:r>
      <w:r>
        <w:t>)</w:t>
      </w:r>
    </w:p>
    <w:p w14:paraId="00C887F6" w14:textId="77777777" w:rsidR="00E86EEF" w:rsidRPr="00E86EEF" w:rsidRDefault="00E86EEF" w:rsidP="00E86EEF">
      <w:pPr>
        <w:pStyle w:val="ListParagraph"/>
        <w:ind w:left="2160"/>
        <w:rPr>
          <w:b/>
          <w:i/>
        </w:rPr>
      </w:pPr>
    </w:p>
    <w:p w14:paraId="47306D0A" w14:textId="0EB38890" w:rsidR="002C749B" w:rsidRPr="00E86EEF" w:rsidRDefault="002C749B" w:rsidP="00E86EEF">
      <w:pPr>
        <w:pStyle w:val="ListParagraph"/>
        <w:numPr>
          <w:ilvl w:val="1"/>
          <w:numId w:val="27"/>
        </w:numPr>
        <w:rPr>
          <w:b/>
          <w:i/>
        </w:rPr>
      </w:pPr>
      <w:r>
        <w:lastRenderedPageBreak/>
        <w:t xml:space="preserve">Death </w:t>
      </w:r>
      <w:r w:rsidR="00F63389">
        <w:t>must</w:t>
      </w:r>
      <w:r>
        <w:t xml:space="preserve"> be confirmed by breakout of a reasonable subset of embryos</w:t>
      </w:r>
      <w:r w:rsidR="00E93A3C">
        <w:t xml:space="preserve"> (at least 20 or </w:t>
      </w:r>
      <w:r w:rsidR="00516EDF">
        <w:t xml:space="preserve">up to </w:t>
      </w:r>
      <w:r w:rsidR="00E93A3C">
        <w:t>5% of total)</w:t>
      </w:r>
      <w:r>
        <w:t xml:space="preserve"> prior to incineration (</w:t>
      </w:r>
      <w:r w:rsidRPr="00262CDD">
        <w:rPr>
          <w:u w:val="single"/>
        </w:rPr>
        <w:t>Never leave embryos in a cold incinerator</w:t>
      </w:r>
      <w:r>
        <w:t>). Additional humane methods of euthanasia may be considered.</w:t>
      </w:r>
      <w:r w:rsidR="00743BA1">
        <w:t xml:space="preserve">  </w:t>
      </w:r>
      <w:r w:rsidR="00743BA1" w:rsidRPr="00E86EEF">
        <w:rPr>
          <w:b/>
          <w:i/>
        </w:rPr>
        <w:t>All courses and demonstrations utilizing embryos of any age require an approved animal use protocol</w:t>
      </w:r>
      <w:r w:rsidR="00582D0C">
        <w:rPr>
          <w:b/>
          <w:i/>
        </w:rPr>
        <w:t xml:space="preserve"> (AUP)</w:t>
      </w:r>
      <w:r w:rsidR="00743BA1" w:rsidRPr="00E86EEF">
        <w:rPr>
          <w:b/>
          <w:i/>
        </w:rPr>
        <w:t>.</w:t>
      </w:r>
    </w:p>
    <w:p w14:paraId="0D0B940D" w14:textId="77777777" w:rsidR="0061424B" w:rsidRDefault="0061424B" w:rsidP="0061424B">
      <w:pPr>
        <w:pStyle w:val="ListParagraph"/>
        <w:ind w:left="1440"/>
      </w:pPr>
    </w:p>
    <w:p w14:paraId="67A38795" w14:textId="119C8CD9" w:rsidR="00E8298B" w:rsidRDefault="002C749B" w:rsidP="00E8298B">
      <w:pPr>
        <w:pStyle w:val="ListParagraph"/>
        <w:numPr>
          <w:ilvl w:val="0"/>
          <w:numId w:val="27"/>
        </w:numPr>
      </w:pPr>
      <w:r>
        <w:t>S</w:t>
      </w:r>
      <w:r w:rsidR="00E8298B">
        <w:t xml:space="preserve">tudies using embryos within three days of hatching (i.e. day </w:t>
      </w:r>
      <w:r w:rsidR="00807ED6">
        <w:rPr>
          <w:rFonts w:cstheme="minorHAnsi"/>
        </w:rPr>
        <w:t>≥</w:t>
      </w:r>
      <w:r w:rsidR="00E8298B">
        <w:t xml:space="preserve"> 18</w:t>
      </w:r>
      <w:r w:rsidR="00CB54FC">
        <w:t xml:space="preserve"> </w:t>
      </w:r>
      <w:r w:rsidR="00CB54FC" w:rsidRPr="00AB3EE3">
        <w:t xml:space="preserve">or </w:t>
      </w:r>
      <w:r w:rsidR="00CB54FC" w:rsidRPr="00AB3EE3">
        <w:rPr>
          <w:rFonts w:cstheme="minorHAnsi"/>
        </w:rPr>
        <w:t>≥</w:t>
      </w:r>
      <w:r w:rsidR="00807ED6">
        <w:rPr>
          <w:rFonts w:cstheme="minorHAnsi"/>
        </w:rPr>
        <w:t xml:space="preserve"> </w:t>
      </w:r>
      <w:r w:rsidR="00CB54FC" w:rsidRPr="00AB3EE3">
        <w:t xml:space="preserve">85% of expected </w:t>
      </w:r>
      <w:r w:rsidR="005B0424" w:rsidRPr="00AB3EE3">
        <w:t xml:space="preserve">total </w:t>
      </w:r>
      <w:r w:rsidR="00CB54FC" w:rsidRPr="00AB3EE3">
        <w:t>incubation period</w:t>
      </w:r>
      <w:r w:rsidR="005B0424" w:rsidRPr="00AB3EE3">
        <w:t xml:space="preserve"> for species other than chickens</w:t>
      </w:r>
      <w:r w:rsidR="00E8298B" w:rsidRPr="00AB3EE3">
        <w:t>), or using hatchling</w:t>
      </w:r>
      <w:r w:rsidR="00E8298B">
        <w:t xml:space="preserve">s, </w:t>
      </w:r>
      <w:r w:rsidR="00E8298B" w:rsidRPr="00C5052F">
        <w:rPr>
          <w:b/>
          <w:u w:val="single"/>
        </w:rPr>
        <w:t>must be reviewed by the normal Ag-IACUC procedure</w:t>
      </w:r>
      <w:r w:rsidR="007D33E6">
        <w:rPr>
          <w:b/>
          <w:u w:val="single"/>
        </w:rPr>
        <w:t xml:space="preserve"> for animal use</w:t>
      </w:r>
      <w:r w:rsidR="00E8298B" w:rsidRPr="00E8298B">
        <w:rPr>
          <w:b/>
        </w:rPr>
        <w:t>.</w:t>
      </w:r>
      <w:r w:rsidR="00E8298B">
        <w:t xml:space="preserve">  Investigators must include in the protocol their procedure and means for euthanasia as well as a contingency plan for euthanasia in the event that the embryos hatch or are not euthanized at the intended time.</w:t>
      </w:r>
    </w:p>
    <w:p w14:paraId="60061E4C" w14:textId="77777777" w:rsidR="00E8298B" w:rsidRDefault="00E8298B" w:rsidP="00E8298B">
      <w:pPr>
        <w:pStyle w:val="ListParagraph"/>
      </w:pPr>
    </w:p>
    <w:p w14:paraId="412611DF" w14:textId="057B2984" w:rsidR="007E4A73" w:rsidRDefault="00E71AF4" w:rsidP="00E8298B">
      <w:pPr>
        <w:pStyle w:val="ListParagraph"/>
        <w:numPr>
          <w:ilvl w:val="1"/>
          <w:numId w:val="27"/>
        </w:numPr>
      </w:pPr>
      <w:r>
        <w:t xml:space="preserve">All avian embryos E18 and </w:t>
      </w:r>
      <w:r w:rsidR="00D525DC">
        <w:t xml:space="preserve">greater </w:t>
      </w:r>
      <w:r>
        <w:t>must be euthanized by an acceptable method as outlined in the AVMA Guidelines on Euthanasia 2020</w:t>
      </w:r>
      <w:r w:rsidR="00C01E4D">
        <w:t xml:space="preserve">, Ag-Guide 2020, </w:t>
      </w:r>
      <w:r>
        <w:t xml:space="preserve">or </w:t>
      </w:r>
      <w:r w:rsidRPr="00C01E4D">
        <w:t xml:space="preserve">Ag-IACUC Policy </w:t>
      </w:r>
    </w:p>
    <w:p w14:paraId="37A087CE" w14:textId="2BC2AA2F" w:rsidR="007E4A73" w:rsidRPr="007E4A73" w:rsidRDefault="0D8485A2" w:rsidP="007E4A73">
      <w:pPr>
        <w:pStyle w:val="ListParagraph"/>
        <w:numPr>
          <w:ilvl w:val="2"/>
          <w:numId w:val="27"/>
        </w:numPr>
      </w:pPr>
      <w:r>
        <w:t>CO</w:t>
      </w:r>
      <w:r w:rsidRPr="0D8485A2">
        <w:rPr>
          <w:vertAlign w:val="subscript"/>
        </w:rPr>
        <w:t>2</w:t>
      </w:r>
      <w:r w:rsidR="003A7445">
        <w:rPr>
          <w:vertAlign w:val="superscript"/>
        </w:rPr>
        <w:t>1,2</w:t>
      </w:r>
    </w:p>
    <w:p w14:paraId="375696D6" w14:textId="2607F34C" w:rsidR="007E4A73" w:rsidRDefault="00F63389" w:rsidP="00262CDD">
      <w:pPr>
        <w:pStyle w:val="ListParagraph"/>
        <w:numPr>
          <w:ilvl w:val="3"/>
          <w:numId w:val="27"/>
        </w:numPr>
      </w:pPr>
      <w:r>
        <w:t>E</w:t>
      </w:r>
      <w:r w:rsidR="007E4A73">
        <w:t>xpos</w:t>
      </w:r>
      <w:r>
        <w:t>ure</w:t>
      </w:r>
      <w:r w:rsidR="007E4A73">
        <w:t xml:space="preserve"> to 90% CO</w:t>
      </w:r>
      <w:r w:rsidR="007E4A73" w:rsidRPr="0D8485A2">
        <w:rPr>
          <w:vertAlign w:val="subscript"/>
        </w:rPr>
        <w:t>2</w:t>
      </w:r>
      <w:r w:rsidR="007E4A73">
        <w:t xml:space="preserve"> for at least 20 minutes</w:t>
      </w:r>
      <w:r w:rsidR="00997B97">
        <w:t xml:space="preserve">, </w:t>
      </w:r>
      <w:r w:rsidR="007E4A73">
        <w:t>followed by either chilling or freezing.</w:t>
      </w:r>
      <w:r w:rsidR="00262CDD">
        <w:t xml:space="preserve">  Death must be confirmed</w:t>
      </w:r>
      <w:r w:rsidR="00C01E4D" w:rsidRPr="00C01E4D">
        <w:rPr>
          <w:vertAlign w:val="superscript"/>
        </w:rPr>
        <w:t>1</w:t>
      </w:r>
      <w:r w:rsidR="00262CDD">
        <w:t xml:space="preserve"> in a reasonable subset of embryos </w:t>
      </w:r>
      <w:r w:rsidR="00E93A3C">
        <w:t xml:space="preserve">(at least 20 or </w:t>
      </w:r>
      <w:r w:rsidR="00516EDF">
        <w:t xml:space="preserve">up to </w:t>
      </w:r>
      <w:r w:rsidR="00E93A3C">
        <w:t xml:space="preserve">5%) </w:t>
      </w:r>
      <w:r w:rsidR="00262CDD">
        <w:t>prior to incineration (</w:t>
      </w:r>
      <w:r w:rsidR="00262CDD" w:rsidRPr="00262CDD">
        <w:rPr>
          <w:u w:val="single"/>
        </w:rPr>
        <w:t>Never leave embryos into a cold incinerator</w:t>
      </w:r>
      <w:r w:rsidR="00262CDD">
        <w:t>).</w:t>
      </w:r>
    </w:p>
    <w:p w14:paraId="65BE3D89" w14:textId="77777777" w:rsidR="007E4A73" w:rsidRPr="007E4A73" w:rsidRDefault="007E4A73" w:rsidP="007E4A73">
      <w:pPr>
        <w:pStyle w:val="ListParagraph"/>
        <w:ind w:left="2880"/>
      </w:pPr>
    </w:p>
    <w:p w14:paraId="08379391" w14:textId="0FD64170" w:rsidR="00377A08" w:rsidRDefault="007E4A73" w:rsidP="00377A08">
      <w:pPr>
        <w:pStyle w:val="ListParagraph"/>
        <w:numPr>
          <w:ilvl w:val="2"/>
          <w:numId w:val="27"/>
        </w:numPr>
      </w:pPr>
      <w:r>
        <w:t>Chilling (</w:t>
      </w:r>
      <w:r w:rsidR="00582D0C">
        <w:rPr>
          <w:rFonts w:cstheme="minorHAnsi"/>
        </w:rPr>
        <w:t>≤</w:t>
      </w:r>
      <w:r w:rsidR="00807ED6">
        <w:rPr>
          <w:rFonts w:cstheme="minorHAnsi"/>
        </w:rPr>
        <w:t xml:space="preserve"> </w:t>
      </w:r>
      <w:r>
        <w:t>4</w:t>
      </w:r>
      <w:r w:rsidR="00A93D9C" w:rsidRPr="00A93D9C">
        <w:rPr>
          <w:vertAlign w:val="superscript"/>
        </w:rPr>
        <w:t>o</w:t>
      </w:r>
      <w:r>
        <w:t>C</w:t>
      </w:r>
      <w:r w:rsidR="00A93D9C">
        <w:t>/40</w:t>
      </w:r>
      <w:r w:rsidR="00A93D9C" w:rsidRPr="00A93D9C">
        <w:rPr>
          <w:vertAlign w:val="superscript"/>
        </w:rPr>
        <w:t>o</w:t>
      </w:r>
      <w:r w:rsidR="00A93D9C">
        <w:t>F</w:t>
      </w:r>
      <w:r>
        <w:t xml:space="preserve"> for </w:t>
      </w:r>
      <w:r w:rsidR="00834FCA">
        <w:t>2</w:t>
      </w:r>
      <w:r>
        <w:t>4hours)</w:t>
      </w:r>
      <w:r w:rsidR="00582D0C" w:rsidRPr="00582D0C">
        <w:rPr>
          <w:vertAlign w:val="superscript"/>
        </w:rPr>
        <w:t xml:space="preserve"> </w:t>
      </w:r>
      <w:r w:rsidR="00582D0C" w:rsidRPr="004B2779">
        <w:rPr>
          <w:vertAlign w:val="superscript"/>
        </w:rPr>
        <w:t>1,</w:t>
      </w:r>
      <w:r w:rsidR="00582D0C" w:rsidRPr="00D525DC">
        <w:rPr>
          <w:vertAlign w:val="superscript"/>
        </w:rPr>
        <w:t>2</w:t>
      </w:r>
    </w:p>
    <w:p w14:paraId="35BB0C3C" w14:textId="77777777" w:rsidR="00A93D9C" w:rsidRDefault="00A93D9C" w:rsidP="00A93D9C">
      <w:pPr>
        <w:pStyle w:val="ListParagraph"/>
        <w:ind w:left="2160"/>
      </w:pPr>
    </w:p>
    <w:p w14:paraId="487D7B09" w14:textId="16A9EC57" w:rsidR="008C5677" w:rsidRDefault="00D525DC" w:rsidP="008C5677">
      <w:pPr>
        <w:pStyle w:val="ListParagraph"/>
        <w:numPr>
          <w:ilvl w:val="1"/>
          <w:numId w:val="27"/>
        </w:numPr>
      </w:pPr>
      <w:r>
        <w:t>Pipped eggs and/or H</w:t>
      </w:r>
      <w:r w:rsidR="008C5677">
        <w:t>atchlings</w:t>
      </w:r>
      <w:r w:rsidR="00AB3EE3">
        <w:t xml:space="preserve"> (Death must be confirmed)</w:t>
      </w:r>
    </w:p>
    <w:p w14:paraId="790B9CE7" w14:textId="7C5CA1A9" w:rsidR="008C5677" w:rsidRPr="008C5677" w:rsidRDefault="008C5677" w:rsidP="008C5677">
      <w:pPr>
        <w:pStyle w:val="ListParagraph"/>
        <w:numPr>
          <w:ilvl w:val="2"/>
          <w:numId w:val="27"/>
        </w:numPr>
      </w:pPr>
      <w:r>
        <w:t>CO</w:t>
      </w:r>
      <w:r w:rsidRPr="008C5677">
        <w:rPr>
          <w:vertAlign w:val="subscript"/>
        </w:rPr>
        <w:t>2</w:t>
      </w:r>
      <w:r>
        <w:t xml:space="preserve"> (90% for 20 minutes)</w:t>
      </w:r>
      <w:r w:rsidR="003A7445">
        <w:rPr>
          <w:vertAlign w:val="superscript"/>
        </w:rPr>
        <w:t>1,2</w:t>
      </w:r>
      <w:r w:rsidR="00E71AF4">
        <w:rPr>
          <w:vertAlign w:val="superscript"/>
        </w:rPr>
        <w:t xml:space="preserve"> </w:t>
      </w:r>
    </w:p>
    <w:p w14:paraId="7E52C9B9" w14:textId="04D75418" w:rsidR="00E71AF4" w:rsidRPr="00174308" w:rsidRDefault="008C5677" w:rsidP="00E71AF4">
      <w:pPr>
        <w:pStyle w:val="ListParagraph"/>
        <w:numPr>
          <w:ilvl w:val="2"/>
          <w:numId w:val="27"/>
        </w:numPr>
      </w:pPr>
      <w:r w:rsidRPr="00174308">
        <w:t>Cervical Dislocation</w:t>
      </w:r>
      <w:r w:rsidR="00174308" w:rsidRPr="00174308">
        <w:rPr>
          <w:vertAlign w:val="superscript"/>
        </w:rPr>
        <w:t>1</w:t>
      </w:r>
    </w:p>
    <w:p w14:paraId="0CA6EB63" w14:textId="50FF7D3B" w:rsidR="00D525DC" w:rsidRPr="00174308" w:rsidRDefault="00174308" w:rsidP="00E71AF4">
      <w:pPr>
        <w:pStyle w:val="ListParagraph"/>
        <w:numPr>
          <w:ilvl w:val="2"/>
          <w:numId w:val="27"/>
        </w:numPr>
      </w:pPr>
      <w:r>
        <w:t>D</w:t>
      </w:r>
      <w:r w:rsidR="00D525DC" w:rsidRPr="00174308">
        <w:t>ecapitation</w:t>
      </w:r>
      <w:r>
        <w:rPr>
          <w:vertAlign w:val="superscript"/>
        </w:rPr>
        <w:t>1</w:t>
      </w:r>
      <w:r w:rsidR="00A93D9C">
        <w:rPr>
          <w:vertAlign w:val="superscript"/>
        </w:rPr>
        <w:t>,2</w:t>
      </w:r>
    </w:p>
    <w:p w14:paraId="44EAFD9C" w14:textId="4ED0CDD2" w:rsidR="0061424B" w:rsidRDefault="0061424B" w:rsidP="00262CDD">
      <w:pPr>
        <w:pStyle w:val="ListParagraph"/>
        <w:ind w:left="2160"/>
      </w:pPr>
    </w:p>
    <w:p w14:paraId="4B94D5A5" w14:textId="1E98BCE6" w:rsidR="00F43F62" w:rsidRDefault="006713C1" w:rsidP="00582D0C">
      <w:pPr>
        <w:pStyle w:val="ListParagraph"/>
        <w:numPr>
          <w:ilvl w:val="0"/>
          <w:numId w:val="27"/>
        </w:numPr>
      </w:pPr>
      <w:r>
        <w:t>Avian embryos that hatch (intentionally or unintentionally) are live vertebrate animals</w:t>
      </w:r>
      <w:r w:rsidR="007A4E82">
        <w:t>;</w:t>
      </w:r>
      <w:r>
        <w:t xml:space="preserve"> therefore, any project in which avian</w:t>
      </w:r>
      <w:r w:rsidR="007A4E82">
        <w:t xml:space="preserve"> embryos</w:t>
      </w:r>
      <w:r>
        <w:t xml:space="preserve"> may hatch must have an approved AUP on file. </w:t>
      </w:r>
      <w:r w:rsidR="00C84870">
        <w:t>Investigators are asked to describe their methods for humane euthanasia of hatchlings.</w:t>
      </w:r>
      <w:r>
        <w:t xml:space="preserve">  </w:t>
      </w:r>
    </w:p>
    <w:p w14:paraId="3DEEC669" w14:textId="77777777" w:rsidR="007A4E82" w:rsidRDefault="007A4E82"/>
    <w:p w14:paraId="58B657F9" w14:textId="77777777" w:rsidR="007A4E82" w:rsidRDefault="000D734A">
      <w:r w:rsidRPr="000D734A">
        <w:rPr>
          <w:b/>
        </w:rPr>
        <w:t>Note:</w:t>
      </w:r>
      <w:r>
        <w:t xml:space="preserve">  </w:t>
      </w:r>
      <w:r w:rsidR="007A4E82">
        <w:t>Any deviations from the</w:t>
      </w:r>
      <w:r>
        <w:t>se</w:t>
      </w:r>
      <w:r w:rsidR="007A4E82">
        <w:t xml:space="preserve"> outlined guidelines and procedures must be reviewed and approved by the </w:t>
      </w:r>
      <w:r>
        <w:t>Ag-</w:t>
      </w:r>
      <w:r w:rsidR="007A4E82">
        <w:t>IACUC</w:t>
      </w:r>
      <w:r>
        <w:t>.</w:t>
      </w:r>
    </w:p>
    <w:p w14:paraId="3656B9AB" w14:textId="77777777" w:rsidR="007A4E82" w:rsidRDefault="007A4E82"/>
    <w:p w14:paraId="45FB0818" w14:textId="77777777" w:rsidR="007D33E6" w:rsidRDefault="007D33E6" w:rsidP="007D33E6">
      <w:pPr>
        <w:rPr>
          <w:i/>
        </w:rPr>
      </w:pPr>
    </w:p>
    <w:p w14:paraId="15463839" w14:textId="77777777" w:rsidR="00A93D9C" w:rsidRPr="00D525DC" w:rsidRDefault="00A93D9C" w:rsidP="00D525DC">
      <w:pPr>
        <w:pStyle w:val="ListParagraph"/>
        <w:ind w:left="0"/>
        <w:rPr>
          <w:sz w:val="16"/>
          <w:szCs w:val="16"/>
        </w:rPr>
      </w:pPr>
    </w:p>
    <w:p w14:paraId="1326952A" w14:textId="77777777" w:rsidR="003F76F2" w:rsidRDefault="003F76F2" w:rsidP="007D33E6">
      <w:pPr>
        <w:rPr>
          <w:i/>
        </w:rPr>
      </w:pPr>
    </w:p>
    <w:p w14:paraId="56D0E9F6" w14:textId="77777777" w:rsidR="00A93D9C" w:rsidRDefault="00A93D9C" w:rsidP="007D33E6">
      <w:pPr>
        <w:rPr>
          <w:i/>
        </w:rPr>
      </w:pPr>
    </w:p>
    <w:p w14:paraId="4E2D8B1A" w14:textId="6E12A0D2" w:rsidR="00516EDF" w:rsidRDefault="00516EDF" w:rsidP="00582D0C">
      <w:pPr>
        <w:pStyle w:val="ListParagraph"/>
        <w:ind w:left="0"/>
        <w:rPr>
          <w:sz w:val="24"/>
          <w:szCs w:val="24"/>
        </w:rPr>
      </w:pPr>
      <w:r w:rsidRPr="00516EDF">
        <w:rPr>
          <w:vertAlign w:val="superscript"/>
        </w:rPr>
        <w:t>1</w:t>
      </w:r>
      <w:r w:rsidR="00582D0C" w:rsidRPr="00516EDF">
        <w:rPr>
          <w:sz w:val="24"/>
          <w:szCs w:val="24"/>
        </w:rPr>
        <w:t>AVMA Guidelines on Euthanasia 2020</w:t>
      </w:r>
    </w:p>
    <w:p w14:paraId="17CF76E8" w14:textId="51E4B62C" w:rsidR="00582D0C" w:rsidRPr="00516EDF" w:rsidRDefault="00582D0C" w:rsidP="00582D0C">
      <w:pPr>
        <w:pStyle w:val="ListParagraph"/>
        <w:ind w:left="0"/>
        <w:rPr>
          <w:sz w:val="24"/>
          <w:szCs w:val="24"/>
        </w:rPr>
      </w:pPr>
      <w:r w:rsidRPr="00516EDF">
        <w:rPr>
          <w:sz w:val="24"/>
          <w:szCs w:val="24"/>
        </w:rPr>
        <w:t>(</w:t>
      </w:r>
      <w:hyperlink r:id="rId11" w:history="1">
        <w:r w:rsidRPr="00516EDF">
          <w:rPr>
            <w:rStyle w:val="Hyperlink"/>
            <w:sz w:val="24"/>
            <w:szCs w:val="24"/>
          </w:rPr>
          <w:t>https://www.avma.org/sites/default/files/2020-02/Guidelines-on-Euthanasia-2020.pdf</w:t>
        </w:r>
      </w:hyperlink>
      <w:r w:rsidRPr="00516EDF">
        <w:rPr>
          <w:sz w:val="24"/>
          <w:szCs w:val="24"/>
        </w:rPr>
        <w:t>)</w:t>
      </w:r>
    </w:p>
    <w:p w14:paraId="0D116798" w14:textId="77777777" w:rsidR="00582D0C" w:rsidRPr="00516EDF" w:rsidRDefault="00582D0C" w:rsidP="00582D0C">
      <w:pPr>
        <w:pStyle w:val="ListParagraph"/>
        <w:ind w:left="0"/>
        <w:rPr>
          <w:sz w:val="24"/>
          <w:szCs w:val="24"/>
        </w:rPr>
      </w:pPr>
      <w:r w:rsidRPr="00516EDF">
        <w:rPr>
          <w:sz w:val="24"/>
          <w:szCs w:val="24"/>
          <w:vertAlign w:val="superscript"/>
        </w:rPr>
        <w:t>2</w:t>
      </w:r>
      <w:r w:rsidRPr="00516EDF">
        <w:rPr>
          <w:sz w:val="24"/>
          <w:szCs w:val="24"/>
        </w:rPr>
        <w:t>Ag-Guide, 4</w:t>
      </w:r>
      <w:r w:rsidRPr="00516EDF">
        <w:rPr>
          <w:sz w:val="24"/>
          <w:szCs w:val="24"/>
          <w:vertAlign w:val="superscript"/>
        </w:rPr>
        <w:t>th</w:t>
      </w:r>
      <w:r w:rsidRPr="00516EDF">
        <w:rPr>
          <w:sz w:val="24"/>
          <w:szCs w:val="24"/>
        </w:rPr>
        <w:t xml:space="preserve"> ed. 2020 (</w:t>
      </w:r>
      <w:hyperlink r:id="rId12" w:history="1">
        <w:r w:rsidRPr="00516EDF">
          <w:rPr>
            <w:rStyle w:val="Hyperlink"/>
            <w:sz w:val="24"/>
            <w:szCs w:val="24"/>
          </w:rPr>
          <w:t>https://www.adsa.org/Portals/0/SiteContent/docs/AgGuide4th/Ag_Guide_4th_ed.pdf</w:t>
        </w:r>
      </w:hyperlink>
      <w:r w:rsidRPr="00516EDF">
        <w:rPr>
          <w:sz w:val="24"/>
          <w:szCs w:val="24"/>
        </w:rPr>
        <w:t>)</w:t>
      </w:r>
    </w:p>
    <w:p w14:paraId="121D738C" w14:textId="77777777" w:rsidR="00A93D9C" w:rsidRDefault="00A93D9C" w:rsidP="007D33E6">
      <w:pPr>
        <w:rPr>
          <w:i/>
        </w:rPr>
      </w:pPr>
    </w:p>
    <w:p w14:paraId="3D6C10AB" w14:textId="77777777" w:rsidR="00A93D9C" w:rsidRDefault="00A93D9C" w:rsidP="007D33E6">
      <w:pPr>
        <w:rPr>
          <w:i/>
        </w:rPr>
      </w:pPr>
    </w:p>
    <w:p w14:paraId="61CDCEAD" w14:textId="443E4B79" w:rsidR="007D33E6" w:rsidRPr="00516EDF" w:rsidRDefault="007D33E6">
      <w:pPr>
        <w:rPr>
          <w:i/>
        </w:rPr>
      </w:pPr>
      <w:r>
        <w:rPr>
          <w:i/>
        </w:rPr>
        <w:t>*</w:t>
      </w:r>
      <w:r w:rsidRPr="007D33E6">
        <w:rPr>
          <w:i/>
        </w:rPr>
        <w:t xml:space="preserve">All use of </w:t>
      </w:r>
      <w:r w:rsidR="002E651B">
        <w:rPr>
          <w:i/>
        </w:rPr>
        <w:t xml:space="preserve">warm-blooded </w:t>
      </w:r>
      <w:r w:rsidRPr="007D33E6">
        <w:rPr>
          <w:i/>
        </w:rPr>
        <w:t xml:space="preserve">animals in research, teaching, training, and testing with the Division of Agriculture is regulated by the University of Arkansas System – Division of Agriculture Institution Animal Care and Use Committee (Ag-IACUC).  </w:t>
      </w:r>
    </w:p>
    <w:sectPr w:rsidR="007D33E6" w:rsidRPr="00516EDF">
      <w:headerReference w:type="default"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B2234" w16cex:dateUtc="2022-09-13T20:37:00Z"/>
  <w16cex:commentExtensible w16cex:durableId="26CB13EC" w16cex:dateUtc="2022-09-13T19:36:00Z"/>
  <w16cex:commentExtensible w16cex:durableId="26CB2259" w16cex:dateUtc="2022-09-13T20:38:00Z"/>
  <w16cex:commentExtensible w16cex:durableId="26CB167A" w16cex:dateUtc="2022-09-13T19:47:00Z"/>
  <w16cex:commentExtensible w16cex:durableId="26CB2276" w16cex:dateUtc="2022-09-13T20:38:00Z"/>
  <w16cex:commentExtensible w16cex:durableId="26CB14A4" w16cex:dateUtc="2022-09-13T19:39:00Z"/>
  <w16cex:commentExtensible w16cex:durableId="26CB2281" w16cex:dateUtc="2022-09-13T2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2D46" w14:textId="77777777" w:rsidR="00B23635" w:rsidRDefault="00B23635" w:rsidP="00356F54">
      <w:r>
        <w:separator/>
      </w:r>
    </w:p>
  </w:endnote>
  <w:endnote w:type="continuationSeparator" w:id="0">
    <w:p w14:paraId="5AAEF776" w14:textId="77777777" w:rsidR="00B23635" w:rsidRDefault="00B23635" w:rsidP="0035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F5B15" w14:textId="55742B2C" w:rsidR="00343E69" w:rsidRDefault="00343E69">
    <w:pPr>
      <w:pStyle w:val="Footer"/>
    </w:pPr>
    <w:r>
      <w:t xml:space="preserve">Approved:  </w:t>
    </w:r>
    <w:r w:rsidR="008E04E6">
      <w:t>08-202</w:t>
    </w:r>
    <w:r w:rsidR="00175AAE">
      <w:t>2</w:t>
    </w:r>
  </w:p>
  <w:p w14:paraId="52E56223" w14:textId="77777777" w:rsidR="00343E69" w:rsidRDefault="00343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60AAE" w14:textId="77777777" w:rsidR="00B23635" w:rsidRDefault="00B23635" w:rsidP="00356F54">
      <w:r>
        <w:separator/>
      </w:r>
    </w:p>
  </w:footnote>
  <w:footnote w:type="continuationSeparator" w:id="0">
    <w:p w14:paraId="70538CDC" w14:textId="77777777" w:rsidR="00B23635" w:rsidRDefault="00B23635" w:rsidP="0035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78DC" w14:textId="7805F1F8" w:rsidR="00356F54" w:rsidRDefault="00343E69">
    <w:pPr>
      <w:pStyle w:val="Header"/>
    </w:pPr>
    <w:r w:rsidRPr="00343E69">
      <w:rPr>
        <w:b/>
        <w:sz w:val="32"/>
        <w:szCs w:val="32"/>
      </w:rPr>
      <w:ptab w:relativeTo="margin" w:alignment="center" w:leader="none"/>
    </w:r>
    <w:r w:rsidRPr="00343E69">
      <w:rPr>
        <w:sz w:val="28"/>
        <w:szCs w:val="28"/>
      </w:rPr>
      <w:ptab w:relativeTo="margin" w:alignment="right" w:leader="none"/>
    </w:r>
    <w:r w:rsidRPr="00343E69">
      <w:rPr>
        <w:sz w:val="28"/>
        <w:szCs w:val="28"/>
      </w:rPr>
      <w:t>Policy #:</w:t>
    </w:r>
    <w:r w:rsidR="008E04E6">
      <w:rPr>
        <w:sz w:val="28"/>
        <w:szCs w:val="28"/>
      </w:rPr>
      <w:t xml:space="preserve">  POSC - 001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094963"/>
    <w:multiLevelType w:val="hybridMultilevel"/>
    <w:tmpl w:val="D7742BC0"/>
    <w:lvl w:ilvl="0" w:tplc="71787932">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23B44"/>
    <w:multiLevelType w:val="hybridMultilevel"/>
    <w:tmpl w:val="CC14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B669C5"/>
    <w:multiLevelType w:val="hybridMultilevel"/>
    <w:tmpl w:val="D6B0B9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F574CA"/>
    <w:multiLevelType w:val="hybridMultilevel"/>
    <w:tmpl w:val="58FA046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A6648"/>
    <w:multiLevelType w:val="hybridMultilevel"/>
    <w:tmpl w:val="BF40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72378D"/>
    <w:multiLevelType w:val="hybridMultilevel"/>
    <w:tmpl w:val="A424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CB6660"/>
    <w:multiLevelType w:val="hybridMultilevel"/>
    <w:tmpl w:val="75384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A157214"/>
    <w:multiLevelType w:val="hybridMultilevel"/>
    <w:tmpl w:val="06BE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6165D"/>
    <w:multiLevelType w:val="hybridMultilevel"/>
    <w:tmpl w:val="6B528B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30"/>
  </w:num>
  <w:num w:numId="5">
    <w:abstractNumId w:val="14"/>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7"/>
  </w:num>
  <w:num w:numId="21">
    <w:abstractNumId w:val="22"/>
  </w:num>
  <w:num w:numId="22">
    <w:abstractNumId w:val="11"/>
  </w:num>
  <w:num w:numId="23">
    <w:abstractNumId w:val="31"/>
  </w:num>
  <w:num w:numId="24">
    <w:abstractNumId w:val="24"/>
  </w:num>
  <w:num w:numId="25">
    <w:abstractNumId w:val="29"/>
  </w:num>
  <w:num w:numId="26">
    <w:abstractNumId w:val="28"/>
  </w:num>
  <w:num w:numId="27">
    <w:abstractNumId w:val="19"/>
  </w:num>
  <w:num w:numId="28">
    <w:abstractNumId w:val="16"/>
  </w:num>
  <w:num w:numId="29">
    <w:abstractNumId w:val="26"/>
  </w:num>
  <w:num w:numId="30">
    <w:abstractNumId w:val="20"/>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3C1"/>
    <w:rsid w:val="000D734A"/>
    <w:rsid w:val="001239DB"/>
    <w:rsid w:val="00136883"/>
    <w:rsid w:val="00174308"/>
    <w:rsid w:val="00175AAE"/>
    <w:rsid w:val="001A33C2"/>
    <w:rsid w:val="001B55A7"/>
    <w:rsid w:val="0020596B"/>
    <w:rsid w:val="00244C57"/>
    <w:rsid w:val="00262CDD"/>
    <w:rsid w:val="00292A94"/>
    <w:rsid w:val="002A52FD"/>
    <w:rsid w:val="002C749B"/>
    <w:rsid w:val="002E651B"/>
    <w:rsid w:val="00321A08"/>
    <w:rsid w:val="0033572A"/>
    <w:rsid w:val="00343E69"/>
    <w:rsid w:val="00356F54"/>
    <w:rsid w:val="00362DD6"/>
    <w:rsid w:val="00377A08"/>
    <w:rsid w:val="003A7445"/>
    <w:rsid w:val="003F76F2"/>
    <w:rsid w:val="00401784"/>
    <w:rsid w:val="00496D73"/>
    <w:rsid w:val="004B2779"/>
    <w:rsid w:val="004D390A"/>
    <w:rsid w:val="004F366E"/>
    <w:rsid w:val="00504274"/>
    <w:rsid w:val="00516EDF"/>
    <w:rsid w:val="005441E0"/>
    <w:rsid w:val="00582D0C"/>
    <w:rsid w:val="005A25C6"/>
    <w:rsid w:val="005B0424"/>
    <w:rsid w:val="005F04B9"/>
    <w:rsid w:val="0061424B"/>
    <w:rsid w:val="00627DD3"/>
    <w:rsid w:val="00645252"/>
    <w:rsid w:val="006713C1"/>
    <w:rsid w:val="0067361A"/>
    <w:rsid w:val="00690F68"/>
    <w:rsid w:val="006A0F3C"/>
    <w:rsid w:val="006A63B2"/>
    <w:rsid w:val="006D3D74"/>
    <w:rsid w:val="006F04FF"/>
    <w:rsid w:val="00716A54"/>
    <w:rsid w:val="00743BA1"/>
    <w:rsid w:val="007A4E82"/>
    <w:rsid w:val="007D33E6"/>
    <w:rsid w:val="007E4A73"/>
    <w:rsid w:val="007F4EEA"/>
    <w:rsid w:val="00807ED6"/>
    <w:rsid w:val="00834FCA"/>
    <w:rsid w:val="0083569A"/>
    <w:rsid w:val="00870201"/>
    <w:rsid w:val="00876981"/>
    <w:rsid w:val="008A0A32"/>
    <w:rsid w:val="008C5677"/>
    <w:rsid w:val="008D4F8C"/>
    <w:rsid w:val="008E04E6"/>
    <w:rsid w:val="00912950"/>
    <w:rsid w:val="00997B97"/>
    <w:rsid w:val="009D0E86"/>
    <w:rsid w:val="00A377A2"/>
    <w:rsid w:val="00A9204E"/>
    <w:rsid w:val="00A93D9C"/>
    <w:rsid w:val="00A957B1"/>
    <w:rsid w:val="00AB3EE3"/>
    <w:rsid w:val="00AB4E0A"/>
    <w:rsid w:val="00AD735E"/>
    <w:rsid w:val="00B23635"/>
    <w:rsid w:val="00B9750B"/>
    <w:rsid w:val="00BA4E40"/>
    <w:rsid w:val="00BB5BFB"/>
    <w:rsid w:val="00C01E4D"/>
    <w:rsid w:val="00C504A3"/>
    <w:rsid w:val="00C5052F"/>
    <w:rsid w:val="00C84870"/>
    <w:rsid w:val="00CB54FC"/>
    <w:rsid w:val="00CD7913"/>
    <w:rsid w:val="00CF6CC7"/>
    <w:rsid w:val="00D525DC"/>
    <w:rsid w:val="00D9722F"/>
    <w:rsid w:val="00DD27B3"/>
    <w:rsid w:val="00DE0367"/>
    <w:rsid w:val="00DF5250"/>
    <w:rsid w:val="00E54403"/>
    <w:rsid w:val="00E71AF4"/>
    <w:rsid w:val="00E8298B"/>
    <w:rsid w:val="00E86EEF"/>
    <w:rsid w:val="00E93A3C"/>
    <w:rsid w:val="00EA1027"/>
    <w:rsid w:val="00EF3EE1"/>
    <w:rsid w:val="00F41CF3"/>
    <w:rsid w:val="00F43F62"/>
    <w:rsid w:val="00F55B5B"/>
    <w:rsid w:val="00F63389"/>
    <w:rsid w:val="00F8327B"/>
    <w:rsid w:val="00FC6084"/>
    <w:rsid w:val="00FE4654"/>
    <w:rsid w:val="0D848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84DA5"/>
  <w15:chartTrackingRefBased/>
  <w15:docId w15:val="{874B56FE-638E-4BB0-9168-88881133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713C1"/>
    <w:pPr>
      <w:ind w:left="720"/>
      <w:contextualSpacing/>
    </w:pPr>
  </w:style>
  <w:style w:type="character" w:styleId="UnresolvedMention">
    <w:name w:val="Unresolved Mention"/>
    <w:basedOn w:val="DefaultParagraphFont"/>
    <w:uiPriority w:val="99"/>
    <w:semiHidden/>
    <w:unhideWhenUsed/>
    <w:rsid w:val="00A93D9C"/>
    <w:rPr>
      <w:color w:val="605E5C"/>
      <w:shd w:val="clear" w:color="auto" w:fill="E1DFDD"/>
    </w:rPr>
  </w:style>
  <w:style w:type="paragraph" w:styleId="Revision">
    <w:name w:val="Revision"/>
    <w:hidden/>
    <w:uiPriority w:val="99"/>
    <w:semiHidden/>
    <w:rsid w:val="005B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dsa.org/Portals/0/SiteContent/docs/AgGuide4th/Ag_Guide_4th_ed.pdf"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vma.org/sites/default/files/2020-02/Guidelines-on-Euthanasia-20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aesbusinessoffice.uada.edu/agiacuc/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en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dc:subject>
  <dc:creator>Tina Poseno</dc:creator>
  <cp:keywords/>
  <dc:description/>
  <cp:lastModifiedBy>Tina Poseno</cp:lastModifiedBy>
  <cp:revision>8</cp:revision>
  <cp:lastPrinted>2022-08-19T18:52:00Z</cp:lastPrinted>
  <dcterms:created xsi:type="dcterms:W3CDTF">2022-11-07T18:24:00Z</dcterms:created>
  <dcterms:modified xsi:type="dcterms:W3CDTF">2022-11-07T19:08:00Z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